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344A8" w14:textId="77777777" w:rsidR="00E925B2" w:rsidRDefault="00A0059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5 Wymagania techniczne</w:t>
      </w:r>
    </w:p>
    <w:p w14:paraId="768DC188" w14:textId="77777777" w:rsidR="00E925B2" w:rsidRDefault="00E925B2">
      <w:pPr>
        <w:jc w:val="right"/>
        <w:rPr>
          <w:rFonts w:ascii="Times New Roman" w:hAnsi="Times New Roman" w:cs="Times New Roman"/>
        </w:rPr>
      </w:pPr>
    </w:p>
    <w:p w14:paraId="3746752B" w14:textId="77777777" w:rsidR="00E925B2" w:rsidRDefault="00A005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techniczne </w:t>
      </w:r>
    </w:p>
    <w:p w14:paraId="2509C8B7" w14:textId="77777777" w:rsidR="00E925B2" w:rsidRDefault="00A0059B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W postępowaniu: </w:t>
      </w:r>
      <w:r>
        <w:rPr>
          <w:rFonts w:ascii="Times New Roman" w:hAnsi="Times New Roman" w:cs="Times New Roman"/>
          <w:b/>
          <w:bCs/>
          <w:sz w:val="24"/>
          <w:szCs w:val="24"/>
        </w:rPr>
        <w:t>„Dostawa materiałów jednorazowych do wykonywania badań laboratoryjnych”</w:t>
      </w:r>
    </w:p>
    <w:p w14:paraId="0365E302" w14:textId="77777777" w:rsidR="00E925B2" w:rsidRDefault="00A005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105/2025</w:t>
      </w:r>
    </w:p>
    <w:p w14:paraId="76C284FC" w14:textId="77777777" w:rsidR="00E925B2" w:rsidRDefault="00E925B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74BFC5" w14:textId="77777777" w:rsidR="00E925B2" w:rsidRDefault="00A0059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Wymagania dla CZĘŚCI I oraz CZĘŚCI II:</w:t>
      </w:r>
    </w:p>
    <w:p w14:paraId="5CEDA4BB" w14:textId="77777777" w:rsidR="00E925B2" w:rsidRDefault="00A0059B">
      <w:pPr>
        <w:pStyle w:val="Akapitzlist"/>
        <w:numPr>
          <w:ilvl w:val="0"/>
          <w:numId w:val="1"/>
        </w:num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musi posiadać aktualne świadectwo Rejestru Środków Farmaceutycznych i Materiałów Medycznych lub inny atest dopuszczający do stosowania przy udzielaniu świadczeń medycznych, oraz spełniać europejskie normy dla wymienionych produktów,</w:t>
      </w:r>
    </w:p>
    <w:p w14:paraId="23D594AB" w14:textId="77777777" w:rsidR="00E925B2" w:rsidRDefault="00A0059B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System musi współpracować w sposób bezawaryjny z posiadanym sprzętem laboratoryjnym – aparaty:   COBAS 6000,  COBAS INTEGRA 400 plus,  PENTRA 80 XL, </w:t>
      </w:r>
      <w:proofErr w:type="spellStart"/>
      <w:r>
        <w:rPr>
          <w:rFonts w:ascii="Times New Roman" w:hAnsi="Times New Roman" w:cs="Times New Roman"/>
          <w:sz w:val="24"/>
          <w:szCs w:val="24"/>
        </w:rPr>
        <w:t>CoagXL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CoagM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3B52BD4" w14:textId="77777777" w:rsidR="00E925B2" w:rsidRDefault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Próbówki wchodzące w skład systemu muszą być odporne na transport i wirowanie,</w:t>
      </w:r>
    </w:p>
    <w:p w14:paraId="685F3755" w14:textId="662294F5" w:rsidR="00E925B2" w:rsidRDefault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Korki standardowe  umożliwiające wielokrotne otwieranie i szczelne </w:t>
      </w:r>
      <w:r>
        <w:rPr>
          <w:rFonts w:ascii="Times New Roman" w:hAnsi="Times New Roman" w:cs="Times New Roman"/>
          <w:sz w:val="24"/>
          <w:szCs w:val="24"/>
        </w:rPr>
        <w:t xml:space="preserve">zamykanie po wykonaniu badań bez użycia dodatkowych elementów (zdejmowane lub zakręcane) </w:t>
      </w:r>
    </w:p>
    <w:p w14:paraId="27DAB77C" w14:textId="77777777" w:rsidR="00E925B2" w:rsidRDefault="00A0059B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różnia w naczyniach do pobierania krwi musi być fabrycznie kalibrowana</w:t>
      </w:r>
      <w:r>
        <w:rPr>
          <w:rFonts w:ascii="Times New Roman" w:hAnsi="Times New Roman"/>
        </w:rPr>
        <w:t>,</w:t>
      </w:r>
    </w:p>
    <w:p w14:paraId="0CBDD057" w14:textId="77777777" w:rsidR="00E925B2" w:rsidRDefault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Kolor korka zgodny z międzynarodowym kodem barwnym,</w:t>
      </w:r>
    </w:p>
    <w:p w14:paraId="7D0F8798" w14:textId="650068E1" w:rsidR="00A0059B" w:rsidRDefault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Etykiety papierowe na wszystkich probówkach</w:t>
      </w:r>
    </w:p>
    <w:p w14:paraId="1A7EA878" w14:textId="0E61461E" w:rsidR="00A0059B" w:rsidRPr="00A0059B" w:rsidRDefault="00A0059B" w:rsidP="00A0059B">
      <w:pPr>
        <w:pStyle w:val="NormalnyWeb"/>
        <w:numPr>
          <w:ilvl w:val="0"/>
          <w:numId w:val="1"/>
        </w:numPr>
      </w:pPr>
      <w:r>
        <w:rPr>
          <w:sz w:val="26"/>
          <w:szCs w:val="26"/>
        </w:rPr>
        <w:t>Termin ważności próbek zgodny z terminem na opakowaniu zbiorczym</w:t>
      </w:r>
    </w:p>
    <w:p w14:paraId="518403AD" w14:textId="70B1B5C0" w:rsidR="00A0059B" w:rsidRPr="00A0059B" w:rsidRDefault="00A0059B" w:rsidP="00A0059B">
      <w:pPr>
        <w:pStyle w:val="NormalnyWeb"/>
        <w:numPr>
          <w:ilvl w:val="0"/>
          <w:numId w:val="1"/>
        </w:numPr>
      </w:pPr>
      <w:r>
        <w:rPr>
          <w:bCs/>
        </w:rPr>
        <w:t xml:space="preserve">W zakresie zadania 1 pozycji 8 wymagany jest dokument potwierdzający </w:t>
      </w:r>
      <w:r w:rsidRPr="000058B2">
        <w:t>przeznaczenie probówki do badań DNA  i RNA oraz dokument potwierdzający stabilność materiału genetycznego wirusów HIV,HCV,HBV przez co najmniej 5 dni od momentu pobrania</w:t>
      </w:r>
      <w:r>
        <w:t xml:space="preserve"> wydany przez Instytut Hematologii i Transfuzjologii</w:t>
      </w:r>
    </w:p>
    <w:p w14:paraId="182FBA64" w14:textId="77777777" w:rsidR="00E925B2" w:rsidRDefault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ferowane elementy systemu muszą być wygodne w użyciu, zapewnić bezpieczeństwo pracy personelu oraz komfort pacjentom w trakcie pobierania krwi, musi zabezpieczać przed kontaktem z krwią w trakcie pobierania materiału,</w:t>
      </w:r>
    </w:p>
    <w:p w14:paraId="7A0E4FE3" w14:textId="77777777" w:rsidR="00E925B2" w:rsidRDefault="00A0059B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Poszczególne elementy w zadaniu muszą być ze sobą kompatybilne – jedno wkłucie igły musi umożliwiać pobranie krwi od pacjenta do różnych probówek, oraz równy poziom jakościowy</w:t>
      </w:r>
      <w:r>
        <w:rPr>
          <w:rFonts w:ascii="Times New Roman" w:hAnsi="Times New Roman" w:cs="Times New Roman"/>
          <w:b/>
          <w:sz w:val="24"/>
          <w:szCs w:val="24"/>
        </w:rPr>
        <w:t>, muszą pochodzić od jednego producenta,</w:t>
      </w:r>
    </w:p>
    <w:p w14:paraId="121BB533" w14:textId="77777777" w:rsidR="00E925B2" w:rsidRDefault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Elementy systemu po wykorzystaniu muszą być łatwe do utylizacji bez toksycznych pozostałości, przystosowane do utylizacji w spalarniach, może to być tworzywo sztuczne,</w:t>
      </w:r>
    </w:p>
    <w:p w14:paraId="4C031136" w14:textId="77777777" w:rsidR="00E925B2" w:rsidRDefault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opakowaniu jednostkowym każdej igły musi znajdować się: nr lot, data ważności, znak CE, znak sterylności, logo producenta, </w:t>
      </w:r>
    </w:p>
    <w:p w14:paraId="3288655C" w14:textId="77777777" w:rsidR="00A0059B" w:rsidRPr="00A0059B" w:rsidRDefault="00A0059B" w:rsidP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059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 xml:space="preserve">Program szkoleniowy w formie interaktywnej w zakresie zapobiegania błędom </w:t>
      </w:r>
      <w:proofErr w:type="spellStart"/>
      <w:r w:rsidRPr="00A0059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przedlaboratoryjnym</w:t>
      </w:r>
      <w:proofErr w:type="spellEnd"/>
      <w:r w:rsidRPr="00A0059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dobrych praktyk pobierania krwi i bezpieczeństwa pracowników</w:t>
      </w:r>
    </w:p>
    <w:p w14:paraId="717A8BFE" w14:textId="53967761" w:rsidR="00A0059B" w:rsidRPr="00A0059B" w:rsidRDefault="00A0059B" w:rsidP="00A005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059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Szkolenie dla osób wykonujących pobieranie krwi ok. 40 osób, zakończone testem sprawdzającym potwierdzone certyfikatem</w:t>
      </w:r>
    </w:p>
    <w:p w14:paraId="2DDCE708" w14:textId="77777777" w:rsidR="00E925B2" w:rsidRDefault="00E925B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E97EB89" w14:textId="77777777" w:rsidR="00E925B2" w:rsidRDefault="00A0059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Wymagania dla CZĘŚCI III:</w:t>
      </w:r>
    </w:p>
    <w:p w14:paraId="7533A123" w14:textId="77777777" w:rsidR="00E925B2" w:rsidRDefault="00A0059B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Wieczka kubków sterylnych i niesterylnych muszą różnić się zdecydowanie kolorami (sterylne – czerwone, niesterylne – żółte) </w:t>
      </w:r>
    </w:p>
    <w:p w14:paraId="58B9A8A9" w14:textId="77777777" w:rsidR="00E925B2" w:rsidRDefault="00A0059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Kubek do moczu z tworzywa nie ulegającego odkształceniu w trakcie napełniania                i transportu do laboratorium,</w:t>
      </w:r>
    </w:p>
    <w:p w14:paraId="28FC0F70" w14:textId="32D32FCE" w:rsidR="00A0059B" w:rsidRDefault="00A0059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Produkty sterylne pakowane indywidualnie </w:t>
      </w:r>
    </w:p>
    <w:p w14:paraId="6588396D" w14:textId="03E2C8A2" w:rsidR="00E925B2" w:rsidRDefault="00A0059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Opakowania zbiorcze a 100 sztuk lub mniejsze</w:t>
      </w:r>
    </w:p>
    <w:p w14:paraId="3610093A" w14:textId="77777777" w:rsidR="00E925B2" w:rsidRDefault="00E925B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925B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94CF7"/>
    <w:multiLevelType w:val="multilevel"/>
    <w:tmpl w:val="D62858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072C4D"/>
    <w:multiLevelType w:val="multilevel"/>
    <w:tmpl w:val="6270DA64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F036643"/>
    <w:multiLevelType w:val="multilevel"/>
    <w:tmpl w:val="B546BE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32156408">
    <w:abstractNumId w:val="2"/>
  </w:num>
  <w:num w:numId="2" w16cid:durableId="1143933823">
    <w:abstractNumId w:val="0"/>
  </w:num>
  <w:num w:numId="3" w16cid:durableId="639264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5B2"/>
    <w:rsid w:val="00A0059B"/>
    <w:rsid w:val="00C125C6"/>
    <w:rsid w:val="00E9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3F050"/>
  <w15:docId w15:val="{F1F9CBCA-86C3-448F-B003-D0C8F3B5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sz w:val="22"/>
        <w:szCs w:val="22"/>
        <w:lang w:val="pl-PL" w:eastAsia="en-US" w:bidi="ar-SA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qFormat/>
    <w:rPr>
      <w:rFonts w:ascii="Comic Sans MS" w:eastAsia="Times New Roman" w:hAnsi="Comic Sans MS" w:cs="Times New Roman"/>
      <w:sz w:val="16"/>
      <w:szCs w:val="16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3">
    <w:name w:val="Body Text 3"/>
    <w:basedOn w:val="Normalny"/>
    <w:qFormat/>
    <w:pPr>
      <w:spacing w:after="120" w:line="240" w:lineRule="auto"/>
    </w:pPr>
    <w:rPr>
      <w:rFonts w:ascii="Comic Sans MS" w:eastAsia="Times New Roman" w:hAnsi="Comic Sans MS" w:cs="Times New Roman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A0059B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389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Gibes</cp:lastModifiedBy>
  <cp:revision>2</cp:revision>
  <dcterms:created xsi:type="dcterms:W3CDTF">2025-12-09T07:48:00Z</dcterms:created>
  <dcterms:modified xsi:type="dcterms:W3CDTF">2025-12-09T09:22:00Z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2022-11-09T10:25:00Z</dcterms:created>
  <dc:creator>Kamila Kołecka</dc:creator>
  <dc:description/>
  <dc:language>pl-PL</dc:language>
  <cp:lastModifiedBy/>
  <dcterms:modified xsi:type="dcterms:W3CDTF">2025-12-04T13:45:25Z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